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9A" w:rsidRPr="00D5349A" w:rsidRDefault="00D5349A" w:rsidP="00D5349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D5349A">
        <w:rPr>
          <w:rFonts w:ascii="Calibri" w:eastAsia="Calibri" w:hAnsi="Calibri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1F91748" wp14:editId="6BFEDF86">
            <wp:simplePos x="0" y="0"/>
            <wp:positionH relativeFrom="column">
              <wp:posOffset>5080</wp:posOffset>
            </wp:positionH>
            <wp:positionV relativeFrom="paragraph">
              <wp:posOffset>219075</wp:posOffset>
            </wp:positionV>
            <wp:extent cx="995045" cy="666750"/>
            <wp:effectExtent l="0" t="0" r="0" b="0"/>
            <wp:wrapSquare wrapText="bothSides"/>
            <wp:docPr id="2" name="Image 2" descr="Logo Atlas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Atlas Orig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49A" w:rsidRPr="00D5349A" w:rsidRDefault="00D5349A" w:rsidP="00D5349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5349A">
        <w:rPr>
          <w:rFonts w:ascii="Calibri" w:eastAsia="Calibri" w:hAnsi="Calibri" w:cs="Times New Roman"/>
          <w:b/>
          <w:sz w:val="28"/>
          <w:szCs w:val="28"/>
        </w:rPr>
        <w:t>10</w:t>
      </w:r>
      <w:r>
        <w:rPr>
          <w:rFonts w:ascii="Calibri" w:eastAsia="Calibri" w:hAnsi="Calibri" w:cs="Times New Roman"/>
          <w:b/>
          <w:sz w:val="28"/>
          <w:szCs w:val="28"/>
        </w:rPr>
        <w:t>th</w:t>
      </w:r>
      <w:r w:rsidRPr="00D5349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Atlas-AFMI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annual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/>
          <w:sz w:val="28"/>
          <w:szCs w:val="28"/>
        </w:rPr>
        <w:t>Conf</w:t>
      </w:r>
      <w:r>
        <w:rPr>
          <w:rFonts w:ascii="Calibri" w:eastAsia="Calibri" w:hAnsi="Calibri" w:cs="Times New Roman"/>
          <w:b/>
          <w:sz w:val="28"/>
          <w:szCs w:val="28"/>
        </w:rPr>
        <w:t>e</w:t>
      </w:r>
      <w:r w:rsidRPr="00D5349A">
        <w:rPr>
          <w:rFonts w:ascii="Calibri" w:eastAsia="Calibri" w:hAnsi="Calibri" w:cs="Times New Roman"/>
          <w:b/>
          <w:sz w:val="28"/>
          <w:szCs w:val="28"/>
        </w:rPr>
        <w:t>rence</w:t>
      </w:r>
      <w:proofErr w:type="spellEnd"/>
      <w:r w:rsidRPr="00D5349A">
        <w:rPr>
          <w:rFonts w:ascii="Calibri" w:eastAsia="Calibri" w:hAnsi="Calibri" w:cs="Times New Roman"/>
          <w:b/>
          <w:sz w:val="28"/>
          <w:szCs w:val="28"/>
        </w:rPr>
        <w:t xml:space="preserve">  </w:t>
      </w:r>
    </w:p>
    <w:p w:rsidR="00D5349A" w:rsidRPr="00D5349A" w:rsidRDefault="00D5349A" w:rsidP="00D5349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5349A">
        <w:rPr>
          <w:rFonts w:ascii="Calibri" w:eastAsia="Calibri" w:hAnsi="Calibri" w:cs="Times New Roman"/>
          <w:b/>
          <w:sz w:val="28"/>
          <w:szCs w:val="28"/>
        </w:rPr>
        <w:t>Association Francophone de Management International</w:t>
      </w:r>
    </w:p>
    <w:p w:rsidR="00D5349A" w:rsidRPr="00D5349A" w:rsidRDefault="00D5349A" w:rsidP="00D5349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5349A">
        <w:rPr>
          <w:rFonts w:ascii="Calibri" w:eastAsia="Calibri" w:hAnsi="Calibri" w:cs="Times New Roman"/>
          <w:b/>
          <w:sz w:val="28"/>
          <w:szCs w:val="28"/>
        </w:rPr>
        <w:t xml:space="preserve">IAE </w:t>
      </w:r>
      <w:r>
        <w:rPr>
          <w:rFonts w:ascii="Calibri" w:eastAsia="Calibri" w:hAnsi="Calibri" w:cs="Times New Roman"/>
          <w:b/>
          <w:sz w:val="28"/>
          <w:szCs w:val="28"/>
        </w:rPr>
        <w:t>of</w:t>
      </w:r>
      <w:r w:rsidRPr="00D5349A">
        <w:rPr>
          <w:rFonts w:ascii="Calibri" w:eastAsia="Calibri" w:hAnsi="Calibri" w:cs="Times New Roman"/>
          <w:b/>
          <w:sz w:val="28"/>
          <w:szCs w:val="28"/>
        </w:rPr>
        <w:t xml:space="preserve"> Poitiers,</w:t>
      </w:r>
      <w:r>
        <w:rPr>
          <w:rFonts w:ascii="Calibri" w:eastAsia="Calibri" w:hAnsi="Calibri" w:cs="Times New Roman"/>
          <w:b/>
          <w:sz w:val="28"/>
          <w:szCs w:val="28"/>
        </w:rPr>
        <w:t xml:space="preserve"> France,</w:t>
      </w:r>
      <w:r w:rsidRPr="00D5349A">
        <w:rPr>
          <w:rFonts w:ascii="Calibri" w:eastAsia="Calibri" w:hAnsi="Calibri" w:cs="Times New Roman"/>
          <w:b/>
          <w:sz w:val="28"/>
          <w:szCs w:val="28"/>
        </w:rPr>
        <w:t xml:space="preserve"> 18-20 </w:t>
      </w:r>
      <w:proofErr w:type="spellStart"/>
      <w:r w:rsidRPr="00D5349A">
        <w:rPr>
          <w:rFonts w:ascii="Calibri" w:eastAsia="Calibri" w:hAnsi="Calibri" w:cs="Times New Roman"/>
          <w:b/>
          <w:sz w:val="28"/>
          <w:szCs w:val="28"/>
        </w:rPr>
        <w:t>ma</w:t>
      </w:r>
      <w:r>
        <w:rPr>
          <w:rFonts w:ascii="Calibri" w:eastAsia="Calibri" w:hAnsi="Calibri" w:cs="Times New Roman"/>
          <w:b/>
          <w:sz w:val="28"/>
          <w:szCs w:val="28"/>
        </w:rPr>
        <w:t>y</w:t>
      </w:r>
      <w:proofErr w:type="spellEnd"/>
      <w:r w:rsidRPr="00D5349A">
        <w:rPr>
          <w:rFonts w:ascii="Calibri" w:eastAsia="Calibri" w:hAnsi="Calibri" w:cs="Times New Roman"/>
          <w:b/>
          <w:sz w:val="28"/>
          <w:szCs w:val="28"/>
        </w:rPr>
        <w:t xml:space="preserve"> 2020</w:t>
      </w:r>
    </w:p>
    <w:p w:rsidR="00D5349A" w:rsidRPr="00D5349A" w:rsidRDefault="00D5349A" w:rsidP="00D5349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D5349A">
        <w:rPr>
          <w:rFonts w:ascii="Calibri" w:eastAsia="Calibri" w:hAnsi="Calibri" w:cs="Times New Roman"/>
          <w:b/>
          <w:bCs/>
          <w:sz w:val="24"/>
          <w:szCs w:val="24"/>
        </w:rPr>
        <w:t>"INTERNATIONAL RESOURCE MANAGEMENT: CHALLENGES, CONFIGURATIONS AND IMPACTS"</w:t>
      </w: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The world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economy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as Braudel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described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it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was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very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early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on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based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on the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search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for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resources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in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what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is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now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called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the international.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These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resources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consisted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of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both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commodities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,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precious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products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and know-how. The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globalization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process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we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are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now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experiencing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is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in line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with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the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same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logic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. The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search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for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resources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that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are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too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scarce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or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too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expensive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locally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invites the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internationalization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of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activities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,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except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that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it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is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no longer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just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a question of trading, but </w:t>
      </w:r>
      <w:proofErr w:type="spellStart"/>
      <w:r>
        <w:rPr>
          <w:rFonts w:ascii="Calibri" w:eastAsia="Calibri" w:hAnsi="Calibri" w:cs="Times New Roman"/>
          <w:bCs/>
          <w:sz w:val="24"/>
          <w:szCs w:val="24"/>
        </w:rPr>
        <w:t>also</w:t>
      </w:r>
      <w:proofErr w:type="spellEnd"/>
      <w:r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of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managing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them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.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Depending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on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their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material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,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financial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or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human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nature,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resources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sz w:val="24"/>
          <w:szCs w:val="24"/>
        </w:rPr>
        <w:t>have to</w:t>
      </w:r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be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identified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,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collected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,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maintained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,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coordinated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,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animated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and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preserved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. </w:t>
      </w: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Geopolitical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logics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, the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evolution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of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means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of transport and communication,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societal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changes are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having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a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profound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impact on international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resource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management. As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processes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spread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along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complex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value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chains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,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there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is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a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need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to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take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into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account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their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positive and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negative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externalities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. In addition to the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principles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of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economic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rationality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that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have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prevailed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in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recent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decades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, new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priorities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have been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added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,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linked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to the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environmental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and social impact of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mobilizing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international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resources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for a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particular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activity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>.</w:t>
      </w:r>
    </w:p>
    <w:p w:rsid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In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this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context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, the challenges, new configurations and impacts of international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resource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management are all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research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topics for the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scientific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community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.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They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are relevant to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research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in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human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resources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, marketing,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logistics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, finance,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economic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intelligenc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e or </w:t>
      </w:r>
      <w:proofErr w:type="spellStart"/>
      <w:r>
        <w:rPr>
          <w:rFonts w:ascii="Calibri" w:eastAsia="Calibri" w:hAnsi="Calibri" w:cs="Times New Roman"/>
          <w:bCs/>
          <w:sz w:val="24"/>
          <w:szCs w:val="24"/>
        </w:rPr>
        <w:t>governance</w:t>
      </w:r>
      <w:proofErr w:type="spellEnd"/>
      <w:r>
        <w:rPr>
          <w:rFonts w:ascii="Calibri" w:eastAsia="Calibri" w:hAnsi="Calibri" w:cs="Times New Roman"/>
          <w:bCs/>
          <w:sz w:val="24"/>
          <w:szCs w:val="24"/>
        </w:rPr>
        <w:t>. The Atlas-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AFMi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2020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conference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will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make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it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possible to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promote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research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on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this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theme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and to open or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relay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the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debates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that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such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issues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generate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>.</w:t>
      </w: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5349A">
        <w:rPr>
          <w:rFonts w:ascii="Calibri" w:eastAsia="Calibri" w:hAnsi="Calibri" w:cs="Times New Roman"/>
          <w:bCs/>
          <w:sz w:val="24"/>
          <w:szCs w:val="24"/>
        </w:rPr>
        <w:t>Chair</w:t>
      </w:r>
      <w:r>
        <w:rPr>
          <w:rFonts w:ascii="Calibri" w:eastAsia="Calibri" w:hAnsi="Calibri" w:cs="Times New Roman"/>
          <w:bCs/>
          <w:sz w:val="24"/>
          <w:szCs w:val="24"/>
        </w:rPr>
        <w:t>s</w:t>
      </w:r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of the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Organising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Committee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and the Scientific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Committee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: </w:t>
      </w: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Jérôme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Méric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, Christian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Marcon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and Sophie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Nivoix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>,</w:t>
      </w:r>
    </w:p>
    <w:p w:rsidR="00D5349A" w:rsidRPr="00D5349A" w:rsidRDefault="0004367C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hyperlink r:id="rId5" w:history="1">
        <w:r w:rsidR="00D5349A" w:rsidRPr="009169FB">
          <w:rPr>
            <w:rStyle w:val="Lienhypertexte"/>
            <w:rFonts w:ascii="Calibri" w:eastAsia="Calibri" w:hAnsi="Calibri" w:cs="Times New Roman"/>
            <w:bCs/>
            <w:sz w:val="24"/>
            <w:szCs w:val="24"/>
          </w:rPr>
          <w:t>jmeric@poitiers.iae-france.fr</w:t>
        </w:r>
      </w:hyperlink>
      <w:r w:rsidR="00D5349A">
        <w:rPr>
          <w:rFonts w:ascii="Calibri" w:eastAsia="Calibri" w:hAnsi="Calibri" w:cs="Times New Roman"/>
          <w:bCs/>
          <w:sz w:val="24"/>
          <w:szCs w:val="24"/>
        </w:rPr>
        <w:t>,</w:t>
      </w:r>
      <w:r w:rsidR="00D5349A"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hyperlink r:id="rId6" w:history="1">
        <w:r w:rsidR="00D5349A" w:rsidRPr="009169FB">
          <w:rPr>
            <w:rStyle w:val="Lienhypertexte"/>
            <w:rFonts w:ascii="Calibri" w:eastAsia="Calibri" w:hAnsi="Calibri" w:cs="Times New Roman"/>
            <w:bCs/>
            <w:sz w:val="24"/>
            <w:szCs w:val="24"/>
          </w:rPr>
          <w:t>cmarcon@poitiers.iae-france.fr</w:t>
        </w:r>
      </w:hyperlink>
      <w:r w:rsidR="00D5349A">
        <w:rPr>
          <w:rFonts w:ascii="Calibri" w:eastAsia="Calibri" w:hAnsi="Calibri" w:cs="Times New Roman"/>
          <w:bCs/>
          <w:sz w:val="24"/>
          <w:szCs w:val="24"/>
        </w:rPr>
        <w:t>,</w:t>
      </w:r>
      <w:r w:rsidR="00D5349A"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hyperlink r:id="rId7" w:history="1">
        <w:r w:rsidR="00D5349A" w:rsidRPr="009169FB">
          <w:rPr>
            <w:rStyle w:val="Lienhypertexte"/>
            <w:rFonts w:ascii="Calibri" w:eastAsia="Calibri" w:hAnsi="Calibri" w:cs="Times New Roman"/>
            <w:bCs/>
            <w:sz w:val="24"/>
            <w:szCs w:val="24"/>
          </w:rPr>
          <w:t>sophie.nivoix@univ-poitiers.fr</w:t>
        </w:r>
      </w:hyperlink>
      <w:r w:rsid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D5349A"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D5349A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List of </w:t>
      </w:r>
      <w:proofErr w:type="spellStart"/>
      <w:r w:rsidRPr="00D5349A">
        <w:rPr>
          <w:rFonts w:ascii="Calibri" w:eastAsia="Calibri" w:hAnsi="Calibri" w:cs="Times New Roman"/>
          <w:b/>
          <w:bCs/>
          <w:sz w:val="24"/>
          <w:szCs w:val="24"/>
          <w:u w:val="single"/>
        </w:rPr>
        <w:t>proposed</w:t>
      </w:r>
      <w:proofErr w:type="spellEnd"/>
      <w:r w:rsidRPr="00D5349A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 workshops:</w:t>
      </w: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D5349A">
        <w:rPr>
          <w:rFonts w:ascii="Calibri" w:eastAsia="Calibri" w:hAnsi="Calibri" w:cs="Times New Roman"/>
          <w:b/>
          <w:bCs/>
          <w:sz w:val="24"/>
          <w:szCs w:val="24"/>
        </w:rPr>
        <w:t xml:space="preserve">1. </w:t>
      </w:r>
      <w:r>
        <w:rPr>
          <w:rFonts w:ascii="Calibri" w:eastAsia="Calibri" w:hAnsi="Calibri" w:cs="Times New Roman"/>
          <w:b/>
          <w:bCs/>
          <w:sz w:val="24"/>
          <w:szCs w:val="24"/>
        </w:rPr>
        <w:t>C</w:t>
      </w:r>
      <w:r w:rsidRPr="00D5349A">
        <w:rPr>
          <w:rFonts w:ascii="Calibri" w:eastAsia="Calibri" w:hAnsi="Calibri" w:cs="Times New Roman"/>
          <w:b/>
          <w:bCs/>
          <w:sz w:val="24"/>
          <w:szCs w:val="24"/>
        </w:rPr>
        <w:t xml:space="preserve">hange in the international </w:t>
      </w:r>
      <w:proofErr w:type="spellStart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>environment</w:t>
      </w:r>
      <w:proofErr w:type="spellEnd"/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Jean-Paul Lemaire and Pierre-Bruno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Ruffini</w:t>
      </w:r>
      <w:proofErr w:type="spellEnd"/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D5349A">
        <w:rPr>
          <w:rFonts w:ascii="Calibri" w:eastAsia="Calibri" w:hAnsi="Calibri" w:cs="Times New Roman"/>
          <w:b/>
          <w:bCs/>
          <w:sz w:val="24"/>
          <w:szCs w:val="24"/>
        </w:rPr>
        <w:t xml:space="preserve">2. </w:t>
      </w:r>
      <w:r>
        <w:rPr>
          <w:rFonts w:ascii="Calibri" w:eastAsia="Calibri" w:hAnsi="Calibri" w:cs="Times New Roman"/>
          <w:b/>
          <w:bCs/>
          <w:sz w:val="24"/>
          <w:szCs w:val="24"/>
        </w:rPr>
        <w:t>M</w:t>
      </w:r>
      <w:r w:rsidRPr="00D5349A">
        <w:rPr>
          <w:rFonts w:ascii="Calibri" w:eastAsia="Calibri" w:hAnsi="Calibri" w:cs="Times New Roman"/>
          <w:b/>
          <w:bCs/>
          <w:sz w:val="24"/>
          <w:szCs w:val="24"/>
        </w:rPr>
        <w:t xml:space="preserve">odes of entry </w:t>
      </w:r>
      <w:proofErr w:type="spellStart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>into</w:t>
      </w:r>
      <w:proofErr w:type="spellEnd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>foreign</w:t>
      </w:r>
      <w:proofErr w:type="spellEnd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>markets</w:t>
      </w:r>
      <w:proofErr w:type="spellEnd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 xml:space="preserve">: new challenges, motivations and performance </w:t>
      </w: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Emna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Moalla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and Dora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Triki</w:t>
      </w:r>
      <w:proofErr w:type="spellEnd"/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D5349A">
        <w:rPr>
          <w:rFonts w:ascii="Calibri" w:eastAsia="Calibri" w:hAnsi="Calibri" w:cs="Times New Roman"/>
          <w:b/>
          <w:bCs/>
          <w:sz w:val="24"/>
          <w:szCs w:val="24"/>
        </w:rPr>
        <w:t xml:space="preserve">3. SAFARI (Alliances, </w:t>
      </w:r>
      <w:proofErr w:type="spellStart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>Mergers</w:t>
      </w:r>
      <w:proofErr w:type="spellEnd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 xml:space="preserve"> &amp; Acquisitions and International Networks </w:t>
      </w:r>
      <w:proofErr w:type="spellStart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>Strategy</w:t>
      </w:r>
      <w:proofErr w:type="spellEnd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>)</w:t>
      </w: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Foued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Cheriet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, Laure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Dikmen</w:t>
      </w:r>
      <w:proofErr w:type="spellEnd"/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D5349A">
        <w:rPr>
          <w:rFonts w:ascii="Calibri" w:eastAsia="Calibri" w:hAnsi="Calibri" w:cs="Times New Roman"/>
          <w:b/>
          <w:bCs/>
          <w:sz w:val="24"/>
          <w:szCs w:val="24"/>
        </w:rPr>
        <w:t xml:space="preserve">4. </w:t>
      </w:r>
      <w:proofErr w:type="spellStart"/>
      <w:r>
        <w:rPr>
          <w:rFonts w:ascii="Calibri" w:eastAsia="Calibri" w:hAnsi="Calibri" w:cs="Times New Roman"/>
          <w:b/>
          <w:bCs/>
          <w:sz w:val="24"/>
          <w:szCs w:val="24"/>
        </w:rPr>
        <w:t>S</w:t>
      </w:r>
      <w:r w:rsidRPr="00D5349A">
        <w:rPr>
          <w:rFonts w:ascii="Calibri" w:eastAsia="Calibri" w:hAnsi="Calibri" w:cs="Times New Roman"/>
          <w:b/>
          <w:bCs/>
          <w:sz w:val="24"/>
          <w:szCs w:val="24"/>
        </w:rPr>
        <w:t>trategy</w:t>
      </w:r>
      <w:proofErr w:type="spellEnd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 xml:space="preserve"> and organisation of multinational </w:t>
      </w:r>
      <w:proofErr w:type="spellStart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>companies</w:t>
      </w:r>
      <w:proofErr w:type="spellEnd"/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Hanane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Beddi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and Jacques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Jaussaud</w:t>
      </w:r>
      <w:proofErr w:type="spellEnd"/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5. </w:t>
      </w:r>
      <w:proofErr w:type="spellStart"/>
      <w:r>
        <w:rPr>
          <w:rFonts w:ascii="Calibri" w:eastAsia="Calibri" w:hAnsi="Calibri" w:cs="Times New Roman"/>
          <w:b/>
          <w:bCs/>
          <w:sz w:val="24"/>
          <w:szCs w:val="24"/>
        </w:rPr>
        <w:t>H</w:t>
      </w:r>
      <w:r w:rsidRPr="00D5349A">
        <w:rPr>
          <w:rFonts w:ascii="Calibri" w:eastAsia="Calibri" w:hAnsi="Calibri" w:cs="Times New Roman"/>
          <w:b/>
          <w:bCs/>
          <w:sz w:val="24"/>
          <w:szCs w:val="24"/>
        </w:rPr>
        <w:t>uman</w:t>
      </w:r>
      <w:proofErr w:type="spellEnd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>resources</w:t>
      </w:r>
      <w:proofErr w:type="spellEnd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 xml:space="preserve"> and international </w:t>
      </w:r>
      <w:proofErr w:type="spellStart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>skills</w:t>
      </w:r>
      <w:proofErr w:type="spellEnd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Christoph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Barmeyer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, Anne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Bartel-Radic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>, Philippe Mouillot</w:t>
      </w: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D5349A">
        <w:rPr>
          <w:rFonts w:ascii="Calibri" w:eastAsia="Calibri" w:hAnsi="Calibri" w:cs="Times New Roman"/>
          <w:b/>
          <w:bCs/>
          <w:sz w:val="24"/>
          <w:szCs w:val="24"/>
        </w:rPr>
        <w:t xml:space="preserve">6. </w:t>
      </w:r>
      <w:r>
        <w:rPr>
          <w:rFonts w:ascii="Calibri" w:eastAsia="Calibri" w:hAnsi="Calibri" w:cs="Times New Roman"/>
          <w:b/>
          <w:bCs/>
          <w:sz w:val="24"/>
          <w:szCs w:val="24"/>
        </w:rPr>
        <w:t>I</w:t>
      </w:r>
      <w:r w:rsidRPr="00D5349A">
        <w:rPr>
          <w:rFonts w:ascii="Calibri" w:eastAsia="Calibri" w:hAnsi="Calibri" w:cs="Times New Roman"/>
          <w:b/>
          <w:bCs/>
          <w:sz w:val="24"/>
          <w:szCs w:val="24"/>
        </w:rPr>
        <w:t xml:space="preserve">nternational performance and </w:t>
      </w:r>
      <w:proofErr w:type="spellStart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>valuation</w:t>
      </w:r>
      <w:proofErr w:type="spellEnd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 xml:space="preserve"> of </w:t>
      </w:r>
      <w:proofErr w:type="spellStart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>firms</w:t>
      </w:r>
      <w:proofErr w:type="spellEnd"/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Ludivine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Chalençon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, Sophie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Nivoix</w:t>
      </w:r>
      <w:proofErr w:type="spellEnd"/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D5349A">
        <w:rPr>
          <w:rFonts w:ascii="Calibri" w:eastAsia="Calibri" w:hAnsi="Calibri" w:cs="Times New Roman"/>
          <w:b/>
          <w:bCs/>
          <w:sz w:val="24"/>
          <w:szCs w:val="24"/>
        </w:rPr>
        <w:t xml:space="preserve">7. </w:t>
      </w:r>
      <w:r>
        <w:rPr>
          <w:rFonts w:ascii="Calibri" w:eastAsia="Calibri" w:hAnsi="Calibri" w:cs="Times New Roman"/>
          <w:b/>
          <w:bCs/>
          <w:sz w:val="24"/>
          <w:szCs w:val="24"/>
        </w:rPr>
        <w:t>T</w:t>
      </w:r>
      <w:r w:rsidRPr="00D5349A">
        <w:rPr>
          <w:rFonts w:ascii="Calibri" w:eastAsia="Calibri" w:hAnsi="Calibri" w:cs="Times New Roman"/>
          <w:b/>
          <w:bCs/>
          <w:sz w:val="24"/>
          <w:szCs w:val="24"/>
        </w:rPr>
        <w:t xml:space="preserve">he international </w:t>
      </w:r>
      <w:proofErr w:type="spellStart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>commitment</w:t>
      </w:r>
      <w:proofErr w:type="spellEnd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 xml:space="preserve"> of </w:t>
      </w:r>
      <w:proofErr w:type="spellStart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>SMEs</w:t>
      </w:r>
      <w:proofErr w:type="spellEnd"/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Bruno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Amann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>, Carole Jean-Amans</w:t>
      </w: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8. I</w:t>
      </w:r>
      <w:r w:rsidRPr="00D5349A">
        <w:rPr>
          <w:rFonts w:ascii="Calibri" w:eastAsia="Calibri" w:hAnsi="Calibri" w:cs="Times New Roman"/>
          <w:b/>
          <w:bCs/>
          <w:sz w:val="24"/>
          <w:szCs w:val="24"/>
        </w:rPr>
        <w:t xml:space="preserve">nternational management in the </w:t>
      </w:r>
      <w:proofErr w:type="spellStart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>African</w:t>
      </w:r>
      <w:proofErr w:type="spellEnd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>context</w:t>
      </w:r>
      <w:proofErr w:type="spellEnd"/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Suzanne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Apitsa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, Emmanuel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Kamden</w:t>
      </w:r>
      <w:proofErr w:type="spellEnd"/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9. C</w:t>
      </w:r>
      <w:r w:rsidRPr="00D5349A">
        <w:rPr>
          <w:rFonts w:ascii="Calibri" w:eastAsia="Calibri" w:hAnsi="Calibri" w:cs="Times New Roman"/>
          <w:b/>
          <w:bCs/>
          <w:sz w:val="24"/>
          <w:szCs w:val="24"/>
        </w:rPr>
        <w:t xml:space="preserve">ritical and </w:t>
      </w:r>
      <w:proofErr w:type="spellStart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>emerging</w:t>
      </w:r>
      <w:proofErr w:type="spellEnd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>approaches</w:t>
      </w:r>
      <w:proofErr w:type="spellEnd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 xml:space="preserve"> to international management and </w:t>
      </w:r>
      <w:proofErr w:type="spellStart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>globalization</w:t>
      </w:r>
      <w:proofErr w:type="spellEnd"/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François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Goxe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, Michaël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Viegas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Pires</w:t>
      </w: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D5349A">
        <w:rPr>
          <w:rFonts w:ascii="Calibri" w:eastAsia="Calibri" w:hAnsi="Calibri" w:cs="Times New Roman"/>
          <w:b/>
          <w:bCs/>
          <w:sz w:val="24"/>
          <w:szCs w:val="24"/>
        </w:rPr>
        <w:t xml:space="preserve">10. Territorial intelligence of international </w:t>
      </w:r>
      <w:proofErr w:type="spellStart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>resources</w:t>
      </w:r>
      <w:proofErr w:type="spellEnd"/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Christian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Marcon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, Olivier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Coussi</w:t>
      </w:r>
      <w:proofErr w:type="spellEnd"/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proofErr w:type="spellStart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>Pedagogical</w:t>
      </w:r>
      <w:proofErr w:type="spellEnd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 xml:space="preserve"> case </w:t>
      </w:r>
      <w:proofErr w:type="spellStart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>studies</w:t>
      </w:r>
      <w:proofErr w:type="spellEnd"/>
      <w:r w:rsidRPr="00D5349A">
        <w:rPr>
          <w:rFonts w:ascii="Calibri" w:eastAsia="Calibri" w:hAnsi="Calibri" w:cs="Times New Roman"/>
          <w:b/>
          <w:bCs/>
          <w:sz w:val="24"/>
          <w:szCs w:val="24"/>
        </w:rPr>
        <w:t xml:space="preserve"> workshop in international management</w:t>
      </w: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5349A">
        <w:rPr>
          <w:rFonts w:ascii="Calibri" w:eastAsia="Calibri" w:hAnsi="Calibri" w:cs="Times New Roman"/>
          <w:bCs/>
          <w:sz w:val="24"/>
          <w:szCs w:val="24"/>
        </w:rPr>
        <w:t>Florence Gervais, Karine Picot-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Coupey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>, Nathalie Prime</w:t>
      </w: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Prize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for the Best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Pedagogical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Case in International Management 2020 in coordination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with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the</w:t>
      </w: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5349A">
        <w:rPr>
          <w:rFonts w:ascii="Calibri" w:eastAsia="Calibri" w:hAnsi="Calibri" w:cs="Times New Roman"/>
          <w:bCs/>
          <w:sz w:val="24"/>
          <w:szCs w:val="24"/>
        </w:rPr>
        <w:t>CCMP</w:t>
      </w: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Atlas-AFMI certification of the best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quality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cases in International Management</w:t>
      </w: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D5349A">
        <w:rPr>
          <w:rFonts w:ascii="Calibri" w:eastAsia="Calibri" w:hAnsi="Calibri" w:cs="Times New Roman"/>
          <w:b/>
          <w:bCs/>
          <w:sz w:val="24"/>
          <w:szCs w:val="24"/>
        </w:rPr>
        <w:t xml:space="preserve">Doctoral workshop </w:t>
      </w: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Eric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Milliot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and Ulrike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Mayrhofer</w:t>
      </w:r>
      <w:proofErr w:type="spellEnd"/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D5349A">
        <w:rPr>
          <w:rFonts w:ascii="Calibri" w:eastAsia="Calibri" w:hAnsi="Calibri" w:cs="Times New Roman"/>
          <w:b/>
          <w:bCs/>
          <w:sz w:val="24"/>
          <w:szCs w:val="24"/>
          <w:u w:val="single"/>
        </w:rPr>
        <w:t>Possible publications:</w:t>
      </w: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- A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selection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of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papers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will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be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the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subject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of a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thematic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dossier in the journal Management International (FNEGE,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rank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2).</w:t>
      </w: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- A collective book on the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theme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of the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conference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will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be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publ</w:t>
      </w:r>
      <w:r>
        <w:rPr>
          <w:rFonts w:ascii="Calibri" w:eastAsia="Calibri" w:hAnsi="Calibri" w:cs="Times New Roman"/>
          <w:bCs/>
          <w:sz w:val="24"/>
          <w:szCs w:val="24"/>
        </w:rPr>
        <w:t>ished</w:t>
      </w:r>
      <w:proofErr w:type="spellEnd"/>
      <w:r>
        <w:rPr>
          <w:rFonts w:ascii="Calibri" w:eastAsia="Calibri" w:hAnsi="Calibri" w:cs="Times New Roman"/>
          <w:bCs/>
          <w:sz w:val="24"/>
          <w:szCs w:val="24"/>
        </w:rPr>
        <w:t xml:space="preserve"> by Vuibert (Atlas-</w:t>
      </w:r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AFMI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series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). The book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may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then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be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submitted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to an Anglo-Saxon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publisher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>.</w:t>
      </w: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-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Pedagogical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cases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may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be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proposed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for the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price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and certification of international management cases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organized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by Atlas</w:t>
      </w:r>
      <w:r>
        <w:rPr>
          <w:rFonts w:ascii="Calibri" w:eastAsia="Calibri" w:hAnsi="Calibri" w:cs="Times New Roman"/>
          <w:bCs/>
          <w:sz w:val="24"/>
          <w:szCs w:val="24"/>
        </w:rPr>
        <w:t>-</w:t>
      </w:r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AFMI and the CCMP (Centrale de Cas et de Médias Pédagogiques). </w:t>
      </w: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D5349A" w:rsidRPr="00D5349A" w:rsidRDefault="00D5349A" w:rsidP="00D53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D5349A">
        <w:rPr>
          <w:rFonts w:ascii="Calibri" w:eastAsia="Calibri" w:hAnsi="Calibri" w:cs="Times New Roman"/>
          <w:b/>
          <w:bCs/>
          <w:sz w:val="24"/>
          <w:szCs w:val="24"/>
          <w:u w:val="single"/>
        </w:rPr>
        <w:t>D</w:t>
      </w:r>
      <w:r>
        <w:rPr>
          <w:rFonts w:ascii="Calibri" w:eastAsia="Calibri" w:hAnsi="Calibri" w:cs="Times New Roman"/>
          <w:b/>
          <w:bCs/>
          <w:sz w:val="24"/>
          <w:szCs w:val="24"/>
          <w:u w:val="single"/>
        </w:rPr>
        <w:t>eadlines</w:t>
      </w:r>
      <w:r w:rsidRPr="00D5349A">
        <w:rPr>
          <w:rFonts w:ascii="Calibri" w:eastAsia="Calibri" w:hAnsi="Calibri" w:cs="Times New Roman"/>
          <w:b/>
          <w:bCs/>
          <w:sz w:val="24"/>
          <w:szCs w:val="24"/>
          <w:u w:val="single"/>
        </w:rPr>
        <w:t>:</w:t>
      </w:r>
    </w:p>
    <w:p w:rsidR="00D5349A" w:rsidRDefault="00D5349A" w:rsidP="00D53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- 6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January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2020: </w:t>
      </w:r>
      <w:r w:rsidRPr="00D5349A">
        <w:rPr>
          <w:rFonts w:ascii="Calibri" w:eastAsia="Calibri" w:hAnsi="Calibri" w:cs="Times New Roman"/>
          <w:bCs/>
          <w:sz w:val="24"/>
          <w:szCs w:val="24"/>
          <w:u w:val="single"/>
        </w:rPr>
        <w:t xml:space="preserve">deadline for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  <w:u w:val="single"/>
        </w:rPr>
        <w:t>submission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of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papers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(in full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text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, in French or in English,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according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to the standards of the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editorial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policy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of the journal Management International: </w:t>
      </w:r>
      <w:hyperlink r:id="rId8" w:history="1">
        <w:r w:rsidRPr="009169FB">
          <w:rPr>
            <w:rStyle w:val="Lienhypertexte"/>
            <w:rFonts w:ascii="Calibri" w:eastAsia="Calibri" w:hAnsi="Calibri" w:cs="Times New Roman"/>
            <w:bCs/>
            <w:sz w:val="24"/>
            <w:szCs w:val="24"/>
          </w:rPr>
          <w:t>http://www.managementinternational.ca</w:t>
        </w:r>
      </w:hyperlink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), doctoral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projects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(3 to 5 pages) and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educational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cases</w:t>
      </w:r>
    </w:p>
    <w:p w:rsidR="00D5349A" w:rsidRPr="00D5349A" w:rsidRDefault="00D5349A" w:rsidP="00D53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D5349A" w:rsidRPr="00D5349A" w:rsidRDefault="00D5349A" w:rsidP="00D53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-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February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3, 2020: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sending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the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evaluations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to the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authors</w:t>
      </w:r>
      <w:proofErr w:type="spellEnd"/>
    </w:p>
    <w:p w:rsidR="00D5349A" w:rsidRDefault="00D5349A" w:rsidP="00D53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- 9 March 2020: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authors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send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final versions of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selected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papers</w:t>
      </w:r>
      <w:proofErr w:type="spellEnd"/>
    </w:p>
    <w:p w:rsidR="00D5349A" w:rsidRPr="00D5349A" w:rsidRDefault="00D5349A" w:rsidP="00D53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D5349A" w:rsidRPr="00D5349A" w:rsidRDefault="00D5349A" w:rsidP="00D53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5349A">
        <w:rPr>
          <w:rFonts w:ascii="Calibri" w:eastAsia="Calibri" w:hAnsi="Calibri" w:cs="Times New Roman"/>
          <w:bCs/>
          <w:sz w:val="24"/>
          <w:szCs w:val="24"/>
        </w:rPr>
        <w:t>- May 18, 2</w:t>
      </w:r>
      <w:r>
        <w:rPr>
          <w:rFonts w:ascii="Calibri" w:eastAsia="Calibri" w:hAnsi="Calibri" w:cs="Times New Roman"/>
          <w:bCs/>
          <w:sz w:val="24"/>
          <w:szCs w:val="24"/>
        </w:rPr>
        <w:t>020: doctoral workshop and AFMI-</w:t>
      </w:r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Atlas case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study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workshop </w:t>
      </w:r>
    </w:p>
    <w:p w:rsidR="00D5349A" w:rsidRPr="00D5349A" w:rsidRDefault="00D5349A" w:rsidP="00D53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- May 19 and 20, 2020: AFMI-</w:t>
      </w:r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Atlas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Annual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Conference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For more information,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please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visit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 the Atlas-AFMI </w:t>
      </w:r>
      <w:proofErr w:type="spellStart"/>
      <w:r w:rsidRPr="00D5349A">
        <w:rPr>
          <w:rFonts w:ascii="Calibri" w:eastAsia="Calibri" w:hAnsi="Calibri" w:cs="Times New Roman"/>
          <w:bCs/>
          <w:sz w:val="24"/>
          <w:szCs w:val="24"/>
        </w:rPr>
        <w:t>website</w:t>
      </w:r>
      <w:proofErr w:type="spellEnd"/>
      <w:r w:rsidRPr="00D5349A">
        <w:rPr>
          <w:rFonts w:ascii="Calibri" w:eastAsia="Calibri" w:hAnsi="Calibri" w:cs="Times New Roman"/>
          <w:bCs/>
          <w:sz w:val="24"/>
          <w:szCs w:val="24"/>
        </w:rPr>
        <w:t xml:space="preserve">: </w:t>
      </w:r>
    </w:p>
    <w:p w:rsidR="00D5349A" w:rsidRPr="00D5349A" w:rsidRDefault="0004367C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hyperlink r:id="rId9" w:history="1">
        <w:r w:rsidR="00D5349A" w:rsidRPr="009169FB">
          <w:rPr>
            <w:rStyle w:val="Lienhypertexte"/>
            <w:rFonts w:ascii="Calibri" w:eastAsia="Calibri" w:hAnsi="Calibri" w:cs="Times New Roman"/>
            <w:bCs/>
            <w:sz w:val="24"/>
            <w:szCs w:val="24"/>
          </w:rPr>
          <w:t>http://www.atlas-afmi.com</w:t>
        </w:r>
      </w:hyperlink>
      <w:r w:rsid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D5349A" w:rsidRPr="00D5349A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D5349A" w:rsidRPr="00D5349A" w:rsidRDefault="00D5349A" w:rsidP="00D5349A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sectPr w:rsidR="00D5349A" w:rsidRPr="00D5349A" w:rsidSect="00D5349A">
      <w:pgSz w:w="11906" w:h="16838"/>
      <w:pgMar w:top="141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9A"/>
    <w:rsid w:val="0004367C"/>
    <w:rsid w:val="004846AA"/>
    <w:rsid w:val="00D5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B93B3-6CFC-4D68-B74B-C5FC3385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3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gementinternational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phie.nivoix@univ-poitier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arcon@poitiers.iae-france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meric@poitiers.iae-france.f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tlas-afmi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MILLIOT Eric</cp:lastModifiedBy>
  <cp:revision>2</cp:revision>
  <dcterms:created xsi:type="dcterms:W3CDTF">2019-05-28T20:28:00Z</dcterms:created>
  <dcterms:modified xsi:type="dcterms:W3CDTF">2019-05-28T20:28:00Z</dcterms:modified>
</cp:coreProperties>
</file>